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9EBE6" w14:textId="3D7BB52A" w:rsidR="00FB6FE8" w:rsidRPr="0082531E" w:rsidRDefault="00545D0D" w:rsidP="00AC7621">
      <w:pPr>
        <w:jc w:val="both"/>
        <w:rPr>
          <w:rFonts w:cstheme="minorHAnsi"/>
          <w:b/>
          <w:bCs/>
          <w:sz w:val="22"/>
          <w:szCs w:val="22"/>
        </w:rPr>
      </w:pPr>
      <w:r w:rsidRPr="0082531E">
        <w:rPr>
          <w:rFonts w:cstheme="minorHAnsi"/>
          <w:b/>
          <w:bCs/>
          <w:sz w:val="22"/>
          <w:szCs w:val="22"/>
        </w:rPr>
        <w:t>Ticari Uyuşmazlıklar ve Çözüm Yolları</w:t>
      </w:r>
      <w:r w:rsidR="00AC7621" w:rsidRPr="0082531E">
        <w:rPr>
          <w:rFonts w:cstheme="minorHAnsi"/>
          <w:b/>
          <w:bCs/>
          <w:sz w:val="22"/>
          <w:szCs w:val="22"/>
        </w:rPr>
        <w:t xml:space="preserve"> Eğitim İçeriği </w:t>
      </w:r>
    </w:p>
    <w:p w14:paraId="11FD1722" w14:textId="356D35BD" w:rsidR="00AC7621" w:rsidRPr="0082531E" w:rsidRDefault="00AC7621" w:rsidP="00AC7621">
      <w:pPr>
        <w:jc w:val="both"/>
        <w:rPr>
          <w:rFonts w:cstheme="minorHAnsi"/>
          <w:sz w:val="22"/>
          <w:szCs w:val="22"/>
        </w:rPr>
      </w:pPr>
    </w:p>
    <w:p w14:paraId="6BCF9B13" w14:textId="03B04004" w:rsidR="00545D0D" w:rsidRPr="0082531E" w:rsidRDefault="00545D0D" w:rsidP="00AC7621">
      <w:pPr>
        <w:jc w:val="both"/>
        <w:rPr>
          <w:rFonts w:cstheme="minorHAnsi"/>
          <w:sz w:val="22"/>
          <w:szCs w:val="22"/>
        </w:rPr>
      </w:pPr>
      <w:r w:rsidRPr="0082531E">
        <w:rPr>
          <w:rFonts w:cstheme="minorHAnsi"/>
          <w:sz w:val="22"/>
          <w:szCs w:val="22"/>
        </w:rPr>
        <w:t xml:space="preserve">Ticaret hayatında giderek sınırlar kalkmakta, eski iş yapış usulleri yeni düzene ayak uydurmakta ve bununla birlikte ticari ihtilafların sayısı artmakta ve niteliği değişmektedir. </w:t>
      </w:r>
      <w:r w:rsidR="00FD5995" w:rsidRPr="0082531E">
        <w:rPr>
          <w:rFonts w:cstheme="minorHAnsi"/>
          <w:sz w:val="22"/>
          <w:szCs w:val="22"/>
        </w:rPr>
        <w:t>Daha evvelden bir uyuşmazlık için tek başvuru mercii mahkemeler iken artık arabuluculuk ve tahkim gibi alternatif çözüm yolu mekanizmaları da hayatımızda önemli bir yer etmiştir. Bilhassa ticari uyuşmazlıklarda zorunlu arabuluculuğun devreye girmesiyle yeni bir dönem başladı diyebil</w:t>
      </w:r>
      <w:r w:rsidR="00ED23FB" w:rsidRPr="0082531E">
        <w:rPr>
          <w:rFonts w:cstheme="minorHAnsi"/>
          <w:sz w:val="22"/>
          <w:szCs w:val="22"/>
        </w:rPr>
        <w:t>i</w:t>
      </w:r>
      <w:r w:rsidR="00FD5995" w:rsidRPr="0082531E">
        <w:rPr>
          <w:rFonts w:cstheme="minorHAnsi"/>
          <w:sz w:val="22"/>
          <w:szCs w:val="22"/>
        </w:rPr>
        <w:t xml:space="preserve">riz. Elbette bu yeni dönem bazı konularda ticari hayata hız katmışken bazı açılardan da sorunlar oluşturabilmektedir. </w:t>
      </w:r>
    </w:p>
    <w:p w14:paraId="5E540C94" w14:textId="59737330" w:rsidR="00FD5995" w:rsidRPr="0082531E" w:rsidRDefault="00FD5995" w:rsidP="00AC7621">
      <w:pPr>
        <w:jc w:val="both"/>
        <w:rPr>
          <w:rFonts w:cstheme="minorHAnsi"/>
          <w:sz w:val="22"/>
          <w:szCs w:val="22"/>
        </w:rPr>
      </w:pPr>
    </w:p>
    <w:p w14:paraId="3D16E815" w14:textId="52459489" w:rsidR="00FD5995" w:rsidRPr="0082531E" w:rsidRDefault="00FD5995" w:rsidP="00AC7621">
      <w:pPr>
        <w:jc w:val="both"/>
        <w:rPr>
          <w:rFonts w:cstheme="minorHAnsi"/>
          <w:sz w:val="22"/>
          <w:szCs w:val="22"/>
        </w:rPr>
      </w:pPr>
      <w:r w:rsidRPr="0082531E">
        <w:rPr>
          <w:rFonts w:cstheme="minorHAnsi"/>
          <w:sz w:val="22"/>
          <w:szCs w:val="22"/>
        </w:rPr>
        <w:t xml:space="preserve">Teknolojinin geldiği nokta itibarıyla sınır ötesi ticaretin de kolaylaşması ile uyuşmazlık öncesinde </w:t>
      </w:r>
      <w:r w:rsidR="00D24BB3" w:rsidRPr="0082531E">
        <w:rPr>
          <w:rFonts w:cstheme="minorHAnsi"/>
          <w:sz w:val="22"/>
          <w:szCs w:val="22"/>
        </w:rPr>
        <w:t xml:space="preserve">düzgün bir </w:t>
      </w:r>
      <w:r w:rsidRPr="0082531E">
        <w:rPr>
          <w:rFonts w:cstheme="minorHAnsi"/>
          <w:sz w:val="22"/>
          <w:szCs w:val="22"/>
        </w:rPr>
        <w:t xml:space="preserve">sözleşmenin kurulması, kontrol noktaları gibi önleyici hukuk hizmetlerinin de önemi giderek artmaktadır. Olası bir uyuşmazlıkta sizi koruyan bir sözleşmenizin olması ve süreç boyunca uzman hukukçulardan alınacak destekle tüm süreci menfaatiniz doğrultusunda yürütmeniz mümkün iken bunun aksi durumda işin esasında hak sahibi olmanıza karşın ihtilaf süreci sonunda hak kaybı yaşama ihtimaliniz söz konusu olabilmektedir. </w:t>
      </w:r>
    </w:p>
    <w:p w14:paraId="3DD9005F" w14:textId="48F00A96" w:rsidR="00FD5995" w:rsidRPr="0082531E" w:rsidRDefault="00FD5995" w:rsidP="00AC7621">
      <w:pPr>
        <w:jc w:val="both"/>
        <w:rPr>
          <w:rFonts w:cstheme="minorHAnsi"/>
          <w:sz w:val="22"/>
          <w:szCs w:val="22"/>
        </w:rPr>
      </w:pPr>
    </w:p>
    <w:p w14:paraId="3BD300AC" w14:textId="2544A82F" w:rsidR="00FD5995" w:rsidRPr="0082531E" w:rsidRDefault="00FD5995" w:rsidP="00AC7621">
      <w:pPr>
        <w:jc w:val="both"/>
        <w:rPr>
          <w:rFonts w:cstheme="minorHAnsi"/>
          <w:sz w:val="22"/>
          <w:szCs w:val="22"/>
        </w:rPr>
      </w:pPr>
      <w:r w:rsidRPr="0082531E">
        <w:rPr>
          <w:rFonts w:cstheme="minorHAnsi"/>
          <w:sz w:val="22"/>
          <w:szCs w:val="22"/>
        </w:rPr>
        <w:t>Bu eğitim kapsamında ticari uyuşmazlıklar kapsamında başvurulacak yollar, bu başvurular öncesinde eliniz</w:t>
      </w:r>
      <w:r w:rsidR="00D24BB3" w:rsidRPr="0082531E">
        <w:rPr>
          <w:rFonts w:cstheme="minorHAnsi"/>
          <w:sz w:val="22"/>
          <w:szCs w:val="22"/>
        </w:rPr>
        <w:t>i</w:t>
      </w:r>
      <w:r w:rsidRPr="0082531E">
        <w:rPr>
          <w:rFonts w:cstheme="minorHAnsi"/>
          <w:sz w:val="22"/>
          <w:szCs w:val="22"/>
        </w:rPr>
        <w:t xml:space="preserve"> güçlendirebilecek önlemler gibi hususlara değinerek çeşitli örneklerle konunun temel hatlarını aktaracağız. </w:t>
      </w:r>
      <w:r w:rsidR="000951DA" w:rsidRPr="0082531E">
        <w:rPr>
          <w:rFonts w:cstheme="minorHAnsi"/>
          <w:sz w:val="22"/>
          <w:szCs w:val="22"/>
        </w:rPr>
        <w:t xml:space="preserve">Eğitim içinde aşağıda başlıklar halinde saydığımız hususlara değineceğiz. </w:t>
      </w:r>
    </w:p>
    <w:p w14:paraId="688B2634" w14:textId="3D45846A" w:rsidR="00AC7621" w:rsidRPr="0082531E" w:rsidRDefault="00AC7621">
      <w:pPr>
        <w:rPr>
          <w:rFonts w:cstheme="minorHAnsi"/>
          <w:sz w:val="22"/>
          <w:szCs w:val="22"/>
        </w:rPr>
      </w:pPr>
    </w:p>
    <w:p w14:paraId="19D79C5D" w14:textId="77777777" w:rsidR="000E5B4C" w:rsidRPr="0082531E" w:rsidRDefault="000E5B4C" w:rsidP="000E5B4C">
      <w:pPr>
        <w:rPr>
          <w:rFonts w:cstheme="minorHAnsi"/>
          <w:b/>
          <w:bCs/>
          <w:sz w:val="22"/>
          <w:szCs w:val="22"/>
        </w:rPr>
      </w:pPr>
      <w:r w:rsidRPr="0082531E">
        <w:rPr>
          <w:rFonts w:cstheme="minorHAnsi"/>
          <w:b/>
          <w:bCs/>
          <w:sz w:val="22"/>
          <w:szCs w:val="22"/>
        </w:rPr>
        <w:t xml:space="preserve">Ticari Uyuşmazlıklar ve Çözüm yolları </w:t>
      </w:r>
      <w:r w:rsidRPr="0082531E">
        <w:rPr>
          <w:rFonts w:cstheme="minorHAnsi"/>
          <w:b/>
          <w:bCs/>
          <w:sz w:val="22"/>
          <w:szCs w:val="22"/>
        </w:rPr>
        <w:tab/>
      </w:r>
    </w:p>
    <w:p w14:paraId="7F964FA2" w14:textId="77777777" w:rsidR="000E5B4C" w:rsidRPr="0082531E" w:rsidRDefault="000E5B4C" w:rsidP="000E5B4C">
      <w:pPr>
        <w:pStyle w:val="ListeParagraf"/>
        <w:numPr>
          <w:ilvl w:val="0"/>
          <w:numId w:val="2"/>
        </w:numPr>
        <w:rPr>
          <w:rFonts w:cstheme="minorHAnsi"/>
          <w:sz w:val="22"/>
          <w:szCs w:val="22"/>
        </w:rPr>
      </w:pPr>
      <w:r w:rsidRPr="0082531E">
        <w:rPr>
          <w:rFonts w:cstheme="minorHAnsi"/>
          <w:sz w:val="22"/>
          <w:szCs w:val="22"/>
        </w:rPr>
        <w:t>Ticari Uyuşmazlık Tipleri</w:t>
      </w:r>
    </w:p>
    <w:p w14:paraId="4479EE5D" w14:textId="77777777" w:rsidR="000E5B4C" w:rsidRPr="0082531E" w:rsidRDefault="000E5B4C" w:rsidP="000E5B4C">
      <w:pPr>
        <w:pStyle w:val="ListeParagraf"/>
        <w:numPr>
          <w:ilvl w:val="0"/>
          <w:numId w:val="2"/>
        </w:numPr>
        <w:rPr>
          <w:rFonts w:cstheme="minorHAnsi"/>
          <w:sz w:val="22"/>
          <w:szCs w:val="22"/>
        </w:rPr>
      </w:pPr>
      <w:r w:rsidRPr="0082531E">
        <w:rPr>
          <w:rFonts w:cstheme="minorHAnsi"/>
          <w:sz w:val="22"/>
          <w:szCs w:val="22"/>
        </w:rPr>
        <w:t xml:space="preserve">Uyuşmazlık Sonucu Başvurulacak Mekanizmalar </w:t>
      </w:r>
    </w:p>
    <w:p w14:paraId="14BA5103" w14:textId="3BC7AEE2" w:rsidR="000E5B4C" w:rsidRPr="0082531E" w:rsidRDefault="000E5B4C" w:rsidP="000E5B4C">
      <w:pPr>
        <w:pStyle w:val="ListeParagraf"/>
        <w:numPr>
          <w:ilvl w:val="0"/>
          <w:numId w:val="2"/>
        </w:numPr>
        <w:rPr>
          <w:rFonts w:cstheme="minorHAnsi"/>
          <w:sz w:val="22"/>
          <w:szCs w:val="22"/>
        </w:rPr>
      </w:pPr>
      <w:r w:rsidRPr="0082531E">
        <w:rPr>
          <w:rFonts w:cstheme="minorHAnsi"/>
          <w:sz w:val="22"/>
          <w:szCs w:val="22"/>
        </w:rPr>
        <w:t>Alacak Tahsili – İcra Takibi Prosedü</w:t>
      </w:r>
      <w:r w:rsidR="00074AC2" w:rsidRPr="0082531E">
        <w:rPr>
          <w:rFonts w:cstheme="minorHAnsi"/>
          <w:sz w:val="22"/>
          <w:szCs w:val="22"/>
        </w:rPr>
        <w:t>r</w:t>
      </w:r>
      <w:r w:rsidRPr="0082531E">
        <w:rPr>
          <w:rFonts w:cstheme="minorHAnsi"/>
          <w:sz w:val="22"/>
          <w:szCs w:val="22"/>
        </w:rPr>
        <w:t xml:space="preserve">leri – Mahkeme Süreçleri </w:t>
      </w:r>
    </w:p>
    <w:p w14:paraId="4AC290CB" w14:textId="768CDBE1" w:rsidR="000E5B4C" w:rsidRPr="0082531E" w:rsidRDefault="000E5B4C" w:rsidP="000E5B4C">
      <w:pPr>
        <w:pStyle w:val="ListeParagraf"/>
        <w:numPr>
          <w:ilvl w:val="0"/>
          <w:numId w:val="2"/>
        </w:numPr>
        <w:rPr>
          <w:rFonts w:cstheme="minorHAnsi"/>
          <w:sz w:val="22"/>
          <w:szCs w:val="22"/>
        </w:rPr>
      </w:pPr>
      <w:r w:rsidRPr="0082531E">
        <w:rPr>
          <w:rFonts w:cstheme="minorHAnsi"/>
          <w:sz w:val="22"/>
          <w:szCs w:val="22"/>
        </w:rPr>
        <w:t xml:space="preserve">Zorunlu Arabuluculuk </w:t>
      </w:r>
      <w:r w:rsidR="00074AC2" w:rsidRPr="0082531E">
        <w:rPr>
          <w:rFonts w:cstheme="minorHAnsi"/>
          <w:sz w:val="22"/>
          <w:szCs w:val="22"/>
        </w:rPr>
        <w:t xml:space="preserve"> </w:t>
      </w:r>
    </w:p>
    <w:p w14:paraId="25399822" w14:textId="77777777" w:rsidR="000E5B4C" w:rsidRPr="0082531E" w:rsidRDefault="000E5B4C" w:rsidP="000E5B4C">
      <w:pPr>
        <w:pStyle w:val="ListeParagraf"/>
        <w:numPr>
          <w:ilvl w:val="0"/>
          <w:numId w:val="2"/>
        </w:numPr>
        <w:rPr>
          <w:rFonts w:cstheme="minorHAnsi"/>
          <w:sz w:val="22"/>
          <w:szCs w:val="22"/>
        </w:rPr>
      </w:pPr>
      <w:r w:rsidRPr="0082531E">
        <w:rPr>
          <w:rFonts w:cstheme="minorHAnsi"/>
          <w:sz w:val="22"/>
          <w:szCs w:val="22"/>
        </w:rPr>
        <w:t xml:space="preserve">Alternatif Çözüm Yolları Olarak Arabuluculuk ve Tahkim süreçleri </w:t>
      </w:r>
    </w:p>
    <w:p w14:paraId="2D8E28C5" w14:textId="77777777" w:rsidR="000E5B4C" w:rsidRPr="0082531E" w:rsidRDefault="000E5B4C" w:rsidP="000E5B4C">
      <w:pPr>
        <w:pStyle w:val="ListeParagraf"/>
        <w:numPr>
          <w:ilvl w:val="0"/>
          <w:numId w:val="2"/>
        </w:numPr>
        <w:rPr>
          <w:rFonts w:cstheme="minorHAnsi"/>
          <w:sz w:val="22"/>
          <w:szCs w:val="22"/>
        </w:rPr>
      </w:pPr>
      <w:r w:rsidRPr="0082531E">
        <w:rPr>
          <w:rFonts w:cstheme="minorHAnsi"/>
          <w:sz w:val="22"/>
          <w:szCs w:val="22"/>
        </w:rPr>
        <w:t xml:space="preserve">Yurt içi – Yurt Dışı Tahkim Süreçleri </w:t>
      </w:r>
    </w:p>
    <w:p w14:paraId="41BECDEE" w14:textId="77777777" w:rsidR="000E5B4C" w:rsidRPr="0082531E" w:rsidRDefault="000E5B4C" w:rsidP="000E5B4C">
      <w:pPr>
        <w:pStyle w:val="ListeParagraf"/>
        <w:numPr>
          <w:ilvl w:val="0"/>
          <w:numId w:val="2"/>
        </w:numPr>
        <w:rPr>
          <w:rFonts w:cstheme="minorHAnsi"/>
          <w:sz w:val="22"/>
          <w:szCs w:val="22"/>
        </w:rPr>
      </w:pPr>
      <w:r w:rsidRPr="0082531E">
        <w:rPr>
          <w:rFonts w:cstheme="minorHAnsi"/>
          <w:sz w:val="22"/>
          <w:szCs w:val="22"/>
        </w:rPr>
        <w:t xml:space="preserve">Çözüm Yolları Bazında Oluşabilecek Masraflar </w:t>
      </w:r>
    </w:p>
    <w:p w14:paraId="4FEEFE6C" w14:textId="77777777" w:rsidR="000E5B4C" w:rsidRPr="0082531E" w:rsidRDefault="000E5B4C" w:rsidP="000E5B4C">
      <w:pPr>
        <w:pStyle w:val="ListeParagraf"/>
        <w:numPr>
          <w:ilvl w:val="0"/>
          <w:numId w:val="2"/>
        </w:numPr>
        <w:rPr>
          <w:rFonts w:cstheme="minorHAnsi"/>
          <w:sz w:val="22"/>
          <w:szCs w:val="22"/>
        </w:rPr>
      </w:pPr>
      <w:r w:rsidRPr="0082531E">
        <w:rPr>
          <w:rFonts w:cstheme="minorHAnsi"/>
          <w:sz w:val="22"/>
          <w:szCs w:val="22"/>
        </w:rPr>
        <w:t xml:space="preserve">Uyuşmazlık Öncesi Koruyucu Hizmetlerin Önemi </w:t>
      </w:r>
    </w:p>
    <w:p w14:paraId="1EA362B5" w14:textId="77777777" w:rsidR="000E5B4C" w:rsidRPr="0082531E" w:rsidRDefault="000E5B4C" w:rsidP="000E5B4C">
      <w:pPr>
        <w:pStyle w:val="ListeParagraf"/>
        <w:numPr>
          <w:ilvl w:val="0"/>
          <w:numId w:val="2"/>
        </w:numPr>
        <w:rPr>
          <w:rFonts w:cstheme="minorHAnsi"/>
          <w:sz w:val="22"/>
          <w:szCs w:val="22"/>
        </w:rPr>
      </w:pPr>
      <w:r w:rsidRPr="0082531E">
        <w:rPr>
          <w:rFonts w:cstheme="minorHAnsi"/>
          <w:sz w:val="22"/>
          <w:szCs w:val="22"/>
        </w:rPr>
        <w:t xml:space="preserve">Sözleşmelerdeki Uyuşmazlık Çözüm Yolu Maddeleri ve Uygulanacak Hukukun Tespiti </w:t>
      </w:r>
    </w:p>
    <w:p w14:paraId="2EF5A316" w14:textId="1D7506AD" w:rsidR="00AC7621" w:rsidRPr="0082531E" w:rsidRDefault="00AC7621">
      <w:pPr>
        <w:rPr>
          <w:rFonts w:cstheme="minorHAnsi"/>
          <w:sz w:val="22"/>
          <w:szCs w:val="22"/>
        </w:rPr>
      </w:pPr>
    </w:p>
    <w:p w14:paraId="2D8DE87A" w14:textId="381C4AB1" w:rsidR="00D71BA4" w:rsidRPr="0082531E" w:rsidRDefault="00D71BA4">
      <w:pPr>
        <w:rPr>
          <w:rFonts w:cstheme="minorHAnsi"/>
          <w:sz w:val="22"/>
          <w:szCs w:val="22"/>
        </w:rPr>
      </w:pPr>
      <w:bookmarkStart w:id="0" w:name="_GoBack"/>
      <w:bookmarkEnd w:id="0"/>
    </w:p>
    <w:sectPr w:rsidR="00D71BA4" w:rsidRPr="0082531E" w:rsidSect="00E92C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Neue Light">
    <w:altName w:val="HELVETICA NEUE LIGHT"/>
    <w:charset w:val="00"/>
    <w:family w:val="auto"/>
    <w:pitch w:val="variable"/>
    <w:sig w:usb0="A00002FF" w:usb1="5000205B" w:usb2="00000002" w:usb3="00000000" w:csb0="00000007"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31A29"/>
    <w:multiLevelType w:val="hybridMultilevel"/>
    <w:tmpl w:val="9B769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0D2FAB"/>
    <w:multiLevelType w:val="hybridMultilevel"/>
    <w:tmpl w:val="EBCCA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21"/>
    <w:rsid w:val="00074AC2"/>
    <w:rsid w:val="000951DA"/>
    <w:rsid w:val="000E5B4C"/>
    <w:rsid w:val="0016575A"/>
    <w:rsid w:val="004858D7"/>
    <w:rsid w:val="00545D0D"/>
    <w:rsid w:val="0058167E"/>
    <w:rsid w:val="00602017"/>
    <w:rsid w:val="0082531E"/>
    <w:rsid w:val="009412D0"/>
    <w:rsid w:val="00AA0258"/>
    <w:rsid w:val="00AC7621"/>
    <w:rsid w:val="00D24BB3"/>
    <w:rsid w:val="00D71BA4"/>
    <w:rsid w:val="00E20BE9"/>
    <w:rsid w:val="00E92C7F"/>
    <w:rsid w:val="00ED23FB"/>
    <w:rsid w:val="00FB6FE8"/>
    <w:rsid w:val="00FD5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1A2A"/>
  <w15:chartTrackingRefBased/>
  <w15:docId w15:val="{74575EC9-8A05-BA44-B0F2-27F23B9E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rsid w:val="00AC7621"/>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styleId="ListeParagraf">
    <w:name w:val="List Paragraph"/>
    <w:basedOn w:val="Normal"/>
    <w:uiPriority w:val="34"/>
    <w:qFormat/>
    <w:rsid w:val="000E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B+B Legal</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Uğur Bağcı</dc:creator>
  <cp:keywords/>
  <dc:description/>
  <cp:lastModifiedBy>HATEM GÜL</cp:lastModifiedBy>
  <cp:revision>4</cp:revision>
  <dcterms:created xsi:type="dcterms:W3CDTF">2021-04-13T09:33:00Z</dcterms:created>
  <dcterms:modified xsi:type="dcterms:W3CDTF">2021-08-19T12:49:00Z</dcterms:modified>
</cp:coreProperties>
</file>